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240DB" w14:textId="1B8544B3" w:rsidR="0079300C" w:rsidRPr="00245864" w:rsidRDefault="0079300C" w:rsidP="0079300C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45864">
        <w:rPr>
          <w:rFonts w:asciiTheme="minorHAnsi" w:hAnsiTheme="minorHAnsi" w:cstheme="minorHAnsi"/>
          <w:b/>
          <w:bCs/>
          <w:sz w:val="24"/>
          <w:szCs w:val="24"/>
        </w:rPr>
        <w:t>Protokół rozbieżności do projektu ustawy o zmianie ustawy o zastawie rejestrowym i rejestrze zastawów oraz ustawy prawo o ruchu drogowym (nr  w wykazie Prac Legislacyjnych i Programowych Rady Ministrów – UD13)</w:t>
      </w:r>
    </w:p>
    <w:p w14:paraId="72FF0D43" w14:textId="77777777" w:rsidR="0079300C" w:rsidRPr="00245864" w:rsidRDefault="0079300C" w:rsidP="0079300C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561"/>
        <w:gridCol w:w="1769"/>
        <w:gridCol w:w="5345"/>
        <w:gridCol w:w="5928"/>
      </w:tblGrid>
      <w:tr w:rsidR="0079300C" w:rsidRPr="00245864" w14:paraId="4C0A13B8" w14:textId="77777777" w:rsidTr="00232D41">
        <w:tc>
          <w:tcPr>
            <w:tcW w:w="561" w:type="dxa"/>
          </w:tcPr>
          <w:p w14:paraId="3DACBF59" w14:textId="77777777" w:rsidR="0079300C" w:rsidRPr="00245864" w:rsidRDefault="0079300C" w:rsidP="00232D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5864">
              <w:rPr>
                <w:rFonts w:asciiTheme="minorHAnsi" w:hAnsiTheme="minorHAnsi" w:cstheme="minorHAnsi"/>
                <w:b/>
                <w:bCs/>
                <w:sz w:val="22"/>
              </w:rPr>
              <w:t>Nr</w:t>
            </w:r>
          </w:p>
        </w:tc>
        <w:tc>
          <w:tcPr>
            <w:tcW w:w="1769" w:type="dxa"/>
          </w:tcPr>
          <w:p w14:paraId="2735847D" w14:textId="77777777" w:rsidR="0079300C" w:rsidRPr="00245864" w:rsidRDefault="0079300C" w:rsidP="00232D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5864">
              <w:rPr>
                <w:rFonts w:asciiTheme="minorHAnsi" w:hAnsiTheme="minorHAnsi" w:cstheme="minorHAnsi"/>
                <w:b/>
                <w:bCs/>
                <w:sz w:val="22"/>
              </w:rPr>
              <w:t>Podmiot zgłaszający</w:t>
            </w:r>
          </w:p>
        </w:tc>
        <w:tc>
          <w:tcPr>
            <w:tcW w:w="5345" w:type="dxa"/>
          </w:tcPr>
          <w:p w14:paraId="4B286A01" w14:textId="77777777" w:rsidR="0079300C" w:rsidRPr="00245864" w:rsidRDefault="0079300C" w:rsidP="00232D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5864">
              <w:rPr>
                <w:rFonts w:asciiTheme="minorHAnsi" w:hAnsiTheme="minorHAnsi" w:cstheme="minorHAnsi"/>
                <w:b/>
                <w:bCs/>
                <w:sz w:val="22"/>
              </w:rPr>
              <w:t>Treść uwagi</w:t>
            </w:r>
          </w:p>
        </w:tc>
        <w:tc>
          <w:tcPr>
            <w:tcW w:w="5928" w:type="dxa"/>
          </w:tcPr>
          <w:p w14:paraId="687783D9" w14:textId="5F15238B" w:rsidR="0079300C" w:rsidRPr="00245864" w:rsidRDefault="0079300C" w:rsidP="00232D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5864">
              <w:rPr>
                <w:rFonts w:asciiTheme="minorHAnsi" w:hAnsiTheme="minorHAnsi" w:cstheme="minorHAnsi"/>
                <w:b/>
                <w:bCs/>
                <w:sz w:val="22"/>
              </w:rPr>
              <w:t xml:space="preserve">Stanowisko Ministerstwa </w:t>
            </w:r>
            <w:r w:rsidR="0020078B">
              <w:rPr>
                <w:rFonts w:asciiTheme="minorHAnsi" w:hAnsiTheme="minorHAnsi" w:cstheme="minorHAnsi"/>
                <w:b/>
                <w:bCs/>
                <w:sz w:val="22"/>
              </w:rPr>
              <w:t>Sprawiedliwości</w:t>
            </w:r>
            <w:r w:rsidRPr="00245864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</w:p>
        </w:tc>
      </w:tr>
      <w:tr w:rsidR="0079300C" w:rsidRPr="00245864" w14:paraId="6A4F3C51" w14:textId="77777777" w:rsidTr="00232D41">
        <w:tc>
          <w:tcPr>
            <w:tcW w:w="561" w:type="dxa"/>
          </w:tcPr>
          <w:p w14:paraId="39A3454C" w14:textId="77777777" w:rsidR="0079300C" w:rsidRPr="00245864" w:rsidRDefault="0079300C" w:rsidP="00232D41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1769" w:type="dxa"/>
          </w:tcPr>
          <w:p w14:paraId="47A64B14" w14:textId="77777777" w:rsidR="0079300C" w:rsidRPr="00245864" w:rsidRDefault="0079300C" w:rsidP="00232D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5864">
              <w:rPr>
                <w:rFonts w:asciiTheme="minorHAnsi" w:hAnsiTheme="minorHAnsi" w:cstheme="minorHAnsi"/>
                <w:b/>
                <w:bCs/>
                <w:sz w:val="22"/>
              </w:rPr>
              <w:t>Ministerstwo Finansów</w:t>
            </w:r>
          </w:p>
        </w:tc>
        <w:tc>
          <w:tcPr>
            <w:tcW w:w="5345" w:type="dxa"/>
          </w:tcPr>
          <w:p w14:paraId="24A7F544" w14:textId="389C87D2" w:rsidR="0079300C" w:rsidRPr="0079300C" w:rsidRDefault="0079300C" w:rsidP="0079300C">
            <w:pPr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t>P</w:t>
            </w:r>
            <w:r w:rsidRPr="0079300C">
              <w:rPr>
                <w:rFonts w:asciiTheme="minorHAnsi" w:hAnsiTheme="minorHAnsi" w:cstheme="minorHAnsi"/>
                <w:sz w:val="22"/>
              </w:rPr>
              <w:t>odtrzymuję stanowisko dotyczące konieczności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uwzględnienia w proponowanych przepisach odrębności w zakresie ustanawiania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zastawu jako zabezpieczenia gwarancji (poręczeń) Skarbu Państwa.</w:t>
            </w:r>
          </w:p>
          <w:p w14:paraId="4BA1E737" w14:textId="11CF8DB9" w:rsidR="0079300C" w:rsidRPr="0079300C" w:rsidRDefault="0079300C" w:rsidP="0079300C">
            <w:pPr>
              <w:rPr>
                <w:rFonts w:asciiTheme="minorHAnsi" w:hAnsiTheme="minorHAnsi" w:cstheme="minorHAnsi"/>
                <w:sz w:val="22"/>
              </w:rPr>
            </w:pPr>
            <w:r w:rsidRPr="0079300C">
              <w:rPr>
                <w:rFonts w:asciiTheme="minorHAnsi" w:hAnsiTheme="minorHAnsi" w:cstheme="minorHAnsi"/>
                <w:sz w:val="22"/>
              </w:rPr>
              <w:t>Projekt ustawy opiera się na założeniu, że termin 20 lat jest maksymalnym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terminem, na jaki może być ustanowiony zastaw, z możliwością jego przedłużenia o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10 lat. Zastaw rejestrowy ma być zatem ujawniany w rejestrze przez okres nie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dłuższy niż 30 lat.</w:t>
            </w:r>
          </w:p>
          <w:p w14:paraId="53D53BE3" w14:textId="65C71B65" w:rsidR="0079300C" w:rsidRPr="0079300C" w:rsidRDefault="0079300C" w:rsidP="0079300C">
            <w:pPr>
              <w:rPr>
                <w:rFonts w:asciiTheme="minorHAnsi" w:hAnsiTheme="minorHAnsi" w:cstheme="minorHAnsi"/>
                <w:sz w:val="22"/>
              </w:rPr>
            </w:pPr>
            <w:r w:rsidRPr="0079300C">
              <w:rPr>
                <w:rFonts w:asciiTheme="minorHAnsi" w:hAnsiTheme="minorHAnsi" w:cstheme="minorHAnsi"/>
                <w:sz w:val="22"/>
              </w:rPr>
              <w:t>Jak wskazano w piśmie Ministra Finansów z dnia 10 lipca 2024 r., w przypadku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ustanawiania zabezpieczeń gwarancji (poręczeń) Skarbu Państwa umowy zastawu</w:t>
            </w:r>
          </w:p>
          <w:p w14:paraId="366747FC" w14:textId="77777777" w:rsidR="0079300C" w:rsidRPr="0079300C" w:rsidRDefault="0079300C" w:rsidP="0079300C">
            <w:pPr>
              <w:rPr>
                <w:rFonts w:asciiTheme="minorHAnsi" w:hAnsiTheme="minorHAnsi" w:cstheme="minorHAnsi"/>
                <w:sz w:val="22"/>
              </w:rPr>
            </w:pPr>
            <w:r w:rsidRPr="0079300C">
              <w:rPr>
                <w:rFonts w:asciiTheme="minorHAnsi" w:hAnsiTheme="minorHAnsi" w:cstheme="minorHAnsi"/>
                <w:sz w:val="22"/>
              </w:rPr>
              <w:t>rejestrowego są zawierane na okres dłuższy niż 20 lat.</w:t>
            </w:r>
          </w:p>
          <w:p w14:paraId="0FB66FBB" w14:textId="75D63E40" w:rsidR="0079300C" w:rsidRPr="0079300C" w:rsidRDefault="0079300C" w:rsidP="0079300C">
            <w:pPr>
              <w:rPr>
                <w:rFonts w:asciiTheme="minorHAnsi" w:hAnsiTheme="minorHAnsi" w:cstheme="minorHAnsi"/>
                <w:sz w:val="22"/>
              </w:rPr>
            </w:pPr>
            <w:r w:rsidRPr="0079300C">
              <w:rPr>
                <w:rFonts w:asciiTheme="minorHAnsi" w:hAnsiTheme="minorHAnsi" w:cstheme="minorHAnsi"/>
                <w:sz w:val="22"/>
              </w:rPr>
              <w:t>Zastosowanie proponowanych rozwiązań w takim przypadku wiązałoby się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z koniecznością występowania o zmianę umowy zastawu i wnioskowania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o wydłużenie okresu wpisu.</w:t>
            </w:r>
          </w:p>
          <w:p w14:paraId="0837F178" w14:textId="4994E41A" w:rsidR="0079300C" w:rsidRPr="0079300C" w:rsidRDefault="0079300C" w:rsidP="0079300C">
            <w:pPr>
              <w:rPr>
                <w:rFonts w:asciiTheme="minorHAnsi" w:hAnsiTheme="minorHAnsi" w:cstheme="minorHAnsi"/>
                <w:sz w:val="22"/>
              </w:rPr>
            </w:pPr>
            <w:r w:rsidRPr="0079300C">
              <w:rPr>
                <w:rFonts w:asciiTheme="minorHAnsi" w:hAnsiTheme="minorHAnsi" w:cstheme="minorHAnsi"/>
                <w:sz w:val="22"/>
              </w:rPr>
              <w:t>Jednak – co należy podkreślić – skutkowałoby to także możliwością utraty przez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Skarb Państwa zabezpieczenia gwarancji (poręczenia) w przypadkach gdy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gwarancja lub poręczenie zabezpieczone zastawem zostały udzielone na okres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dłuższy niż 30 lat.</w:t>
            </w:r>
          </w:p>
          <w:p w14:paraId="2E44C3FB" w14:textId="06D4AF57" w:rsidR="0079300C" w:rsidRPr="00245864" w:rsidRDefault="0079300C" w:rsidP="0079300C">
            <w:pPr>
              <w:rPr>
                <w:rFonts w:asciiTheme="minorHAnsi" w:hAnsiTheme="minorHAnsi" w:cstheme="minorHAnsi"/>
                <w:sz w:val="22"/>
              </w:rPr>
            </w:pPr>
            <w:r w:rsidRPr="0079300C">
              <w:rPr>
                <w:rFonts w:asciiTheme="minorHAnsi" w:hAnsiTheme="minorHAnsi" w:cstheme="minorHAnsi"/>
                <w:sz w:val="22"/>
              </w:rPr>
              <w:t>W związku z powyższym ponawiam propozycję dotyczącą wydłużenia okresu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utrzymania zastawu stanowiącego zabezpieczenie gwarancji (poręczenia) Skarbu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9300C">
              <w:rPr>
                <w:rFonts w:asciiTheme="minorHAnsi" w:hAnsiTheme="minorHAnsi" w:cstheme="minorHAnsi"/>
                <w:sz w:val="22"/>
              </w:rPr>
              <w:t>Państwa albo wyłączenie w stosunku do Skarbu Państwa czasowego ograniczenia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(30 lat) dotyczącego ujawniania zastawu w rejestrze.</w:t>
            </w:r>
          </w:p>
          <w:p w14:paraId="1F1F46AF" w14:textId="77777777" w:rsidR="0079300C" w:rsidRPr="00245864" w:rsidRDefault="0079300C" w:rsidP="00232D41">
            <w:pPr>
              <w:rPr>
                <w:rFonts w:asciiTheme="minorHAnsi" w:hAnsiTheme="minorHAnsi" w:cstheme="minorHAnsi"/>
                <w:sz w:val="22"/>
              </w:rPr>
            </w:pPr>
          </w:p>
          <w:p w14:paraId="0DE75A87" w14:textId="77777777" w:rsidR="0079300C" w:rsidRPr="00245864" w:rsidRDefault="0079300C" w:rsidP="00232D41">
            <w:pPr>
              <w:rPr>
                <w:rFonts w:asciiTheme="minorHAnsi" w:hAnsiTheme="minorHAnsi" w:cstheme="minorHAnsi"/>
                <w:sz w:val="22"/>
              </w:rPr>
            </w:pPr>
          </w:p>
          <w:p w14:paraId="7F88B44C" w14:textId="77777777" w:rsidR="0079300C" w:rsidRPr="00245864" w:rsidRDefault="0079300C" w:rsidP="00232D41">
            <w:pPr>
              <w:rPr>
                <w:rFonts w:asciiTheme="minorHAnsi" w:hAnsiTheme="minorHAnsi" w:cstheme="minorHAnsi"/>
                <w:sz w:val="22"/>
              </w:rPr>
            </w:pPr>
          </w:p>
          <w:p w14:paraId="3A79BDD9" w14:textId="77777777" w:rsidR="0079300C" w:rsidRPr="00245864" w:rsidRDefault="0079300C" w:rsidP="00232D41">
            <w:pPr>
              <w:rPr>
                <w:rFonts w:asciiTheme="minorHAnsi" w:hAnsiTheme="minorHAnsi" w:cstheme="minorHAnsi"/>
                <w:sz w:val="22"/>
              </w:rPr>
            </w:pPr>
          </w:p>
          <w:p w14:paraId="6B74F995" w14:textId="77777777" w:rsidR="0079300C" w:rsidRPr="00245864" w:rsidRDefault="0079300C" w:rsidP="00232D41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28" w:type="dxa"/>
          </w:tcPr>
          <w:p w14:paraId="0197BB79" w14:textId="77777777" w:rsidR="0079300C" w:rsidRPr="00245864" w:rsidRDefault="0079300C" w:rsidP="00245864">
            <w:pPr>
              <w:rPr>
                <w:rFonts w:asciiTheme="minorHAnsi" w:hAnsiTheme="minorHAnsi" w:cstheme="minorHAnsi"/>
                <w:b/>
                <w:bCs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b/>
                <w:bCs/>
                <w:iCs/>
                <w:sz w:val="22"/>
              </w:rPr>
              <w:lastRenderedPageBreak/>
              <w:t>Uwaga nieuwzględniona</w:t>
            </w:r>
          </w:p>
          <w:p w14:paraId="34FFCBA0" w14:textId="77777777" w:rsidR="0079300C" w:rsidRPr="00245864" w:rsidRDefault="0079300C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</w:p>
          <w:p w14:paraId="0B42A8BA" w14:textId="2FACA888" w:rsidR="005953CB" w:rsidRPr="00245864" w:rsidRDefault="00B47D19" w:rsidP="00245864">
            <w:pPr>
              <w:rPr>
                <w:rFonts w:asciiTheme="minorHAnsi" w:hAnsiTheme="minorHAnsi" w:cstheme="minorHAnsi"/>
                <w:sz w:val="22"/>
              </w:rPr>
            </w:pPr>
            <w:r w:rsidRPr="00B47D19">
              <w:rPr>
                <w:rFonts w:asciiTheme="minorHAnsi" w:hAnsiTheme="minorHAnsi" w:cstheme="minorHAnsi"/>
                <w:sz w:val="22"/>
              </w:rPr>
              <w:t xml:space="preserve">Treść </w:t>
            </w:r>
            <w:r w:rsidR="00E551A5" w:rsidRPr="00245864">
              <w:rPr>
                <w:rFonts w:asciiTheme="minorHAnsi" w:hAnsiTheme="minorHAnsi" w:cstheme="minorHAnsi"/>
                <w:sz w:val="22"/>
              </w:rPr>
              <w:t>art. 18a</w:t>
            </w:r>
            <w:r w:rsidRPr="00B47D19">
              <w:rPr>
                <w:rFonts w:asciiTheme="minorHAnsi" w:hAnsiTheme="minorHAnsi" w:cstheme="minorHAnsi"/>
                <w:sz w:val="22"/>
              </w:rPr>
              <w:t xml:space="preserve"> przepisu została nadana ustawą z dnia 5 września 2008 r. o zmianie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ustawy o zastawie rejestrowym i rejestrze zastawów oraz o zmianie innych ustaw (Dz. U.</w:t>
            </w:r>
            <w:r w:rsidR="00E551A5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 xml:space="preserve">poz.1113), która </w:t>
            </w:r>
            <w:r w:rsidRPr="00B47D19">
              <w:rPr>
                <w:rFonts w:asciiTheme="minorHAnsi" w:hAnsiTheme="minorHAnsi" w:cstheme="minorHAnsi"/>
                <w:b/>
                <w:bCs/>
                <w:sz w:val="22"/>
              </w:rPr>
              <w:t>weszła w życie z dniem 11 stycznia 2009 r</w:t>
            </w:r>
            <w:r w:rsidRPr="00B47D19">
              <w:rPr>
                <w:rFonts w:asciiTheme="minorHAnsi" w:hAnsiTheme="minorHAnsi" w:cstheme="minorHAnsi"/>
                <w:sz w:val="22"/>
              </w:rPr>
              <w:t>. W uzasadnieniu do ustawy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wskazano, że: ”Art. 18a przewiduje działanie sądu z urzędu po upływie ustawowego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terminu wygaśnięcia zastawu rejestrowego. Termin 20 lat został przyjęty po ustaleniu,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że w praktyce największa liczba umów zastawniczych dotyczy okresu 60 miesięcy (5 lat)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i są one przedłużane w trybie art. 18 o dalsze 5 lat. Tak więc działanie sądu z urzędu,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po okresie 20 lat od chwili wpisu zastawu w rejestrze, ma na celu uporządkowanie rejestru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zastawów, a zwłaszcza elektronicznej bazy danych z wpisów, co do których strony nie</w:t>
            </w:r>
            <w:r w:rsidR="00C56741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wykazują żadnego zainteresowania, a brak jest skutecznych narzędzi do wymuszenia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złożenia stosownego wniosku o wykreślenie zastawu. Przyjęto zasadę, że maksymalnie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 xml:space="preserve">zastaw rejestrowy będzie figurował w rejestrze przez okres 30 lat.” </w:t>
            </w:r>
          </w:p>
          <w:p w14:paraId="74ED1C02" w14:textId="61F2020B" w:rsidR="00B47D19" w:rsidRPr="00B47D19" w:rsidRDefault="005953CB" w:rsidP="00245864">
            <w:pPr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t>Należy wskazać, że b</w:t>
            </w:r>
            <w:r w:rsidR="00365952" w:rsidRPr="00245864">
              <w:rPr>
                <w:rFonts w:asciiTheme="minorHAnsi" w:hAnsiTheme="minorHAnsi" w:cstheme="minorHAnsi"/>
                <w:sz w:val="22"/>
              </w:rPr>
              <w:t>rak przepisów intertemporalnych, odnoszących się do powyższej materii oznacza, że ma ona z zastosowanie również do zastawów rejestrowych ustanowionych przed jej wejściem w życie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(por. </w:t>
            </w:r>
            <w:r w:rsidR="00365952" w:rsidRPr="00245864">
              <w:rPr>
                <w:rFonts w:asciiTheme="minorHAnsi" w:hAnsiTheme="minorHAnsi" w:cstheme="minorHAnsi"/>
                <w:sz w:val="22"/>
              </w:rPr>
              <w:t xml:space="preserve">. </w:t>
            </w:r>
          </w:p>
          <w:p w14:paraId="2B109456" w14:textId="2C1F2E6A" w:rsidR="00B47D19" w:rsidRPr="00245864" w:rsidRDefault="00B47D19" w:rsidP="00245864">
            <w:pPr>
              <w:rPr>
                <w:rFonts w:asciiTheme="minorHAnsi" w:hAnsiTheme="minorHAnsi" w:cstheme="minorHAnsi"/>
                <w:sz w:val="22"/>
              </w:rPr>
            </w:pPr>
            <w:r w:rsidRPr="00B47D19">
              <w:rPr>
                <w:rFonts w:asciiTheme="minorHAnsi" w:hAnsiTheme="minorHAnsi" w:cstheme="minorHAnsi"/>
                <w:sz w:val="22"/>
              </w:rPr>
              <w:t xml:space="preserve">Projektowana obecnie zmiana art. 18a </w:t>
            </w:r>
            <w:r w:rsidRPr="00B47D19">
              <w:rPr>
                <w:rFonts w:asciiTheme="minorHAnsi" w:hAnsiTheme="minorHAnsi" w:cstheme="minorHAnsi"/>
                <w:b/>
                <w:bCs/>
                <w:sz w:val="22"/>
              </w:rPr>
              <w:t xml:space="preserve">nie dotyczy terminu wygaśnięcia zastawu, </w:t>
            </w:r>
            <w:r w:rsidRPr="00B47D19">
              <w:rPr>
                <w:rFonts w:asciiTheme="minorHAnsi" w:hAnsiTheme="minorHAnsi" w:cstheme="minorHAnsi"/>
                <w:sz w:val="22"/>
              </w:rPr>
              <w:t>ale ma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na celu jedynie wyeliminowanie problemu jakim jest brak możliwości doręczenia przez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sąd rejestrowy odpisu postanowienia o wykreśleniu wygasłego ex lege zastawu. W tym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 xml:space="preserve">celu projektodawca w miejsce </w:t>
            </w:r>
            <w:r w:rsidRPr="00B47D19">
              <w:rPr>
                <w:rFonts w:asciiTheme="minorHAnsi" w:hAnsiTheme="minorHAnsi" w:cstheme="minorHAnsi"/>
                <w:sz w:val="22"/>
              </w:rPr>
              <w:lastRenderedPageBreak/>
              <w:t>dotychczasowego obowiązku wykreśl</w:t>
            </w:r>
            <w:r w:rsidR="00961D8B">
              <w:rPr>
                <w:rFonts w:asciiTheme="minorHAnsi" w:hAnsiTheme="minorHAnsi" w:cstheme="minorHAnsi"/>
                <w:sz w:val="22"/>
              </w:rPr>
              <w:t>e</w:t>
            </w:r>
            <w:r w:rsidRPr="00B47D19">
              <w:rPr>
                <w:rFonts w:asciiTheme="minorHAnsi" w:hAnsiTheme="minorHAnsi" w:cstheme="minorHAnsi"/>
                <w:sz w:val="22"/>
              </w:rPr>
              <w:t>nia takiego zastawu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przez sąd z urzędu, wprowadził fikcję prawną uznania takiego zastawu za wykreślony ex</w:t>
            </w:r>
            <w:r w:rsidR="00400228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47D19">
              <w:rPr>
                <w:rFonts w:asciiTheme="minorHAnsi" w:hAnsiTheme="minorHAnsi" w:cstheme="minorHAnsi"/>
                <w:sz w:val="22"/>
              </w:rPr>
              <w:t>lege.</w:t>
            </w:r>
          </w:p>
          <w:p w14:paraId="7F0BF779" w14:textId="23FAA512" w:rsidR="004421A9" w:rsidRPr="00B47D19" w:rsidRDefault="004421A9" w:rsidP="00245864">
            <w:pPr>
              <w:rPr>
                <w:rFonts w:asciiTheme="minorHAnsi" w:hAnsiTheme="minorHAnsi" w:cstheme="minorHAnsi"/>
                <w:sz w:val="22"/>
              </w:rPr>
            </w:pPr>
          </w:p>
          <w:p w14:paraId="253AF8EF" w14:textId="3DC5F72A" w:rsidR="00B47D19" w:rsidRPr="00B47D19" w:rsidRDefault="00B47D19" w:rsidP="00245864">
            <w:pPr>
              <w:rPr>
                <w:rFonts w:asciiTheme="minorHAnsi" w:hAnsiTheme="minorHAnsi" w:cstheme="minorHAnsi"/>
                <w:sz w:val="22"/>
              </w:rPr>
            </w:pPr>
            <w:r w:rsidRPr="00B47D19">
              <w:rPr>
                <w:rFonts w:asciiTheme="minorHAnsi" w:hAnsiTheme="minorHAnsi" w:cstheme="minorHAnsi"/>
                <w:sz w:val="22"/>
              </w:rPr>
              <w:t>.</w:t>
            </w:r>
          </w:p>
          <w:p w14:paraId="7F57E73E" w14:textId="059EF266" w:rsidR="0079300C" w:rsidRPr="00245864" w:rsidRDefault="0079300C" w:rsidP="00245864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</w:tr>
      <w:tr w:rsidR="004421A9" w:rsidRPr="00245864" w14:paraId="4F01A25F" w14:textId="77777777" w:rsidTr="00232D41">
        <w:tc>
          <w:tcPr>
            <w:tcW w:w="561" w:type="dxa"/>
          </w:tcPr>
          <w:p w14:paraId="3D12C597" w14:textId="2E8F61AD" w:rsidR="004421A9" w:rsidRPr="00245864" w:rsidRDefault="004421A9" w:rsidP="00CC511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lastRenderedPageBreak/>
              <w:t xml:space="preserve">2. </w:t>
            </w:r>
          </w:p>
        </w:tc>
        <w:tc>
          <w:tcPr>
            <w:tcW w:w="1769" w:type="dxa"/>
          </w:tcPr>
          <w:p w14:paraId="1432F897" w14:textId="56151A89" w:rsidR="004421A9" w:rsidRPr="00245864" w:rsidRDefault="004421A9" w:rsidP="00CC511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5864">
              <w:rPr>
                <w:rFonts w:asciiTheme="minorHAnsi" w:hAnsiTheme="minorHAnsi" w:cstheme="minorHAnsi"/>
                <w:b/>
                <w:bCs/>
                <w:sz w:val="22"/>
              </w:rPr>
              <w:t>Rządowe Centrum Legislacji</w:t>
            </w:r>
          </w:p>
        </w:tc>
        <w:tc>
          <w:tcPr>
            <w:tcW w:w="5345" w:type="dxa"/>
          </w:tcPr>
          <w:p w14:paraId="4F56026C" w14:textId="0AD88AD5" w:rsidR="00D64F41" w:rsidRPr="00245864" w:rsidRDefault="00D64F41" w:rsidP="00CC5117">
            <w:pPr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t>RCL ponownie jednak zauważa, że proponowane w</w:t>
            </w:r>
            <w:r w:rsidR="00DB172A" w:rsidRPr="0024586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sz w:val="22"/>
              </w:rPr>
              <w:t>tym zakresie rozwiązania nie mogą ingerować w konstytucyjnie chronione wartości, takie jak szeroko rozumiane prawo do sądu. Istotne wątpliwości budzi bowiem rozwiązanie polegające na stworzeniu konstrukcji fikcji prawnej zakładającej, że zastaw rejestrowy wygasa, i uznaje się go za wykreślony po upływie dwudziestu lat od chwili wpisu, bez konieczności wydawania osobnego postanowienia w tej sprawie. Rozwiązanie to bowiem pozbawia stronę możliwości odwołania się od rozstrzygnięć skutkujących de facto pozbawieniem jej prawa do posiadanego zabezpieczenia swoich wierzytelności, jak również pozbawia ją możliwości otrzymania informacji o fakcie i treści dokonanej czynności wykreślenia zastawu. W konsekwencji regulacja ta może narazić się na zarzut ograniczenia możliwości korzystania przez uczestników postępowania gwarancji wynikających z konstytucyjnego prawa do sądu. Ponownie także zauważa się, że na gruncie obowiązujących przepisów, na podstawie art. 41 ust. 5 ustawy, od postanowienia w przedmiocie wpisu do rejestru zastawów (którym zgodnie z art. 40 ust. 2</w:t>
            </w:r>
          </w:p>
          <w:p w14:paraId="02777E51" w14:textId="4E072E09" w:rsidR="004421A9" w:rsidRPr="00245864" w:rsidRDefault="00D64F41" w:rsidP="00CC5117">
            <w:pPr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t>ustawy jest także wykreślenie, w tym dokonywane w oparciu o art. 18a ustawy w brzmieniu dotychczasowym) przysługuje apelacja – której po wejściu w życie projektowanych regulacji nie będzie już można wnosić.</w:t>
            </w:r>
          </w:p>
        </w:tc>
        <w:tc>
          <w:tcPr>
            <w:tcW w:w="5928" w:type="dxa"/>
          </w:tcPr>
          <w:p w14:paraId="02A20BF6" w14:textId="77777777" w:rsidR="004421A9" w:rsidRPr="00245864" w:rsidRDefault="00DB172A" w:rsidP="00245864">
            <w:pPr>
              <w:rPr>
                <w:rFonts w:asciiTheme="minorHAnsi" w:hAnsiTheme="minorHAnsi" w:cstheme="minorHAnsi"/>
                <w:b/>
                <w:bCs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b/>
                <w:bCs/>
                <w:iCs/>
                <w:sz w:val="22"/>
              </w:rPr>
              <w:t>Uwaga nieuwzględniona</w:t>
            </w:r>
          </w:p>
          <w:p w14:paraId="2064A399" w14:textId="77777777" w:rsidR="00DB172A" w:rsidRPr="00245864" w:rsidRDefault="00DB172A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</w:p>
          <w:p w14:paraId="5D3C13FA" w14:textId="3B3C5087" w:rsidR="0056338D" w:rsidRPr="00245864" w:rsidRDefault="0056338D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Ministerstwo Sprawiedliwości pootrzymuje swoje stanowisko wyrażone w piśmie z dnia 18 października </w:t>
            </w:r>
            <w:r w:rsidR="00C56741" w:rsidRPr="00245864">
              <w:rPr>
                <w:rFonts w:asciiTheme="minorHAnsi" w:hAnsiTheme="minorHAnsi" w:cstheme="minorHAnsi"/>
                <w:iCs/>
                <w:sz w:val="22"/>
              </w:rPr>
              <w:t xml:space="preserve">2024 r. Odnosząc się do zarzutu tworzenia konstrukcji fikcji prawnej, zakładającej, że zastaw rejestrowy wygasa i uznaje się go za wykreślony należy wskazać, że temporalny charakter zastawu rejestrowego został wprowadzony (uznanie zastawu za wygasły ex lege po upływie określonego terminu) </w:t>
            </w:r>
            <w:r w:rsidR="0012679C" w:rsidRPr="00245864">
              <w:rPr>
                <w:rFonts w:asciiTheme="minorHAnsi" w:hAnsiTheme="minorHAnsi" w:cstheme="minorHAnsi"/>
                <w:iCs/>
                <w:sz w:val="22"/>
              </w:rPr>
              <w:t xml:space="preserve">został wprowadzony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ustawą z dnia 5 września 2008 r. o zmianie ustawy o zastawie rejestrowym i rejestrze zastawów oraz o zmianie innych ustaw (Dz.U. poz. 1113)</w:t>
            </w:r>
            <w:r w:rsidR="0012679C" w:rsidRPr="00245864">
              <w:rPr>
                <w:rFonts w:asciiTheme="minorHAnsi" w:hAnsiTheme="minorHAnsi" w:cstheme="minorHAnsi"/>
                <w:iCs/>
                <w:sz w:val="22"/>
              </w:rPr>
              <w:t xml:space="preserve">, która weszła w życie  w dniu 11 stycznia 2009r.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="0012679C" w:rsidRPr="00245864">
              <w:rPr>
                <w:rFonts w:asciiTheme="minorHAnsi" w:hAnsiTheme="minorHAnsi" w:cstheme="minorHAnsi"/>
                <w:iCs/>
                <w:sz w:val="22"/>
              </w:rPr>
              <w:t xml:space="preserve">Jak już wskazywano celem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przepis</w:t>
            </w:r>
            <w:r w:rsidR="0012679C" w:rsidRPr="00245864">
              <w:rPr>
                <w:rFonts w:asciiTheme="minorHAnsi" w:hAnsiTheme="minorHAnsi" w:cstheme="minorHAnsi"/>
                <w:iCs/>
                <w:sz w:val="22"/>
              </w:rPr>
              <w:t>u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 art. 18a było wprowadzenie możliwości działania sądu rejestrowego z urzędu</w:t>
            </w:r>
            <w:r w:rsidR="0012679C" w:rsidRPr="00245864">
              <w:rPr>
                <w:rFonts w:asciiTheme="minorHAnsi" w:hAnsiTheme="minorHAnsi" w:cstheme="minorHAnsi"/>
                <w:iCs/>
                <w:sz w:val="22"/>
              </w:rPr>
              <w:t xml:space="preserve"> -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 wobec nowej treści art. 39 ust. 1 ustawy</w:t>
            </w:r>
            <w:r w:rsidR="0012679C" w:rsidRPr="00245864">
              <w:rPr>
                <w:rFonts w:asciiTheme="minorHAnsi" w:hAnsiTheme="minorHAnsi" w:cstheme="minorHAnsi"/>
                <w:iCs/>
                <w:sz w:val="22"/>
              </w:rPr>
              <w:t xml:space="preserve"> -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po upływie ustawowego</w:t>
            </w:r>
            <w:r w:rsidR="008F6E4B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terminu wygaśnięcia zastawu rejestrowego. </w:t>
            </w:r>
            <w:r w:rsidR="0012679C" w:rsidRPr="00245864">
              <w:rPr>
                <w:rFonts w:asciiTheme="minorHAnsi" w:hAnsiTheme="minorHAnsi" w:cstheme="minorHAnsi"/>
                <w:iCs/>
                <w:sz w:val="22"/>
              </w:rPr>
              <w:t>Skutkiem</w:t>
            </w:r>
            <w:r w:rsidR="008F6E4B" w:rsidRPr="00245864">
              <w:rPr>
                <w:rFonts w:asciiTheme="minorHAnsi" w:hAnsiTheme="minorHAnsi" w:cstheme="minorHAnsi"/>
                <w:iCs/>
                <w:sz w:val="22"/>
              </w:rPr>
              <w:t xml:space="preserve"> podjęcia przez sąd postępowania z urzędu</w:t>
            </w:r>
            <w:r w:rsidR="0012679C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="004C1E37" w:rsidRPr="00245864">
              <w:rPr>
                <w:rFonts w:asciiTheme="minorHAnsi" w:hAnsiTheme="minorHAnsi" w:cstheme="minorHAnsi"/>
                <w:iCs/>
                <w:sz w:val="22"/>
              </w:rPr>
              <w:t>miało</w:t>
            </w:r>
            <w:r w:rsidR="0012679C" w:rsidRPr="00245864">
              <w:rPr>
                <w:rFonts w:asciiTheme="minorHAnsi" w:hAnsiTheme="minorHAnsi" w:cstheme="minorHAnsi"/>
                <w:iCs/>
                <w:sz w:val="22"/>
              </w:rPr>
              <w:t xml:space="preserve"> być</w:t>
            </w:r>
            <w:r w:rsidR="008F6E4B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uporządkowanie rejestru</w:t>
            </w:r>
            <w:r w:rsidR="008F6E4B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zastawów, a zwłaszcza elektronicznej bazy danych z wpisów, co do których strony nie</w:t>
            </w:r>
            <w:r w:rsidR="008F6E4B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wykazują żadnego zainteresowania, a brak jest skutecznych narzędzi do wymuszenia</w:t>
            </w:r>
            <w:r w:rsidR="008F6E4B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złożenia stosownego wniosku o wykreślenie zastawu. </w:t>
            </w:r>
            <w:r w:rsidR="004C1E37" w:rsidRPr="00245864">
              <w:rPr>
                <w:rFonts w:asciiTheme="minorHAnsi" w:hAnsiTheme="minorHAnsi" w:cstheme="minorHAnsi"/>
                <w:iCs/>
                <w:sz w:val="22"/>
              </w:rPr>
              <w:t xml:space="preserve">Tym samym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czynności sądu rejestrowego mają jedynie charakter potwierdzający stan prawny</w:t>
            </w:r>
          </w:p>
          <w:p w14:paraId="1570E7FD" w14:textId="77777777" w:rsidR="004C1E37" w:rsidRPr="00245864" w:rsidRDefault="0056338D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>(deklaratoryjny) oraz porządkowy.</w:t>
            </w:r>
            <w:r w:rsidR="008F6E4B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</w:p>
          <w:p w14:paraId="64D75062" w14:textId="2C11049E" w:rsidR="0056338D" w:rsidRPr="00245864" w:rsidRDefault="008F6E4B" w:rsidP="00245864">
            <w:pPr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t xml:space="preserve">W praktyce tak długi upływ czasu </w:t>
            </w:r>
            <w:r w:rsidR="0012679C" w:rsidRPr="00245864">
              <w:rPr>
                <w:rFonts w:asciiTheme="minorHAnsi" w:hAnsiTheme="minorHAnsi" w:cstheme="minorHAnsi"/>
                <w:sz w:val="22"/>
              </w:rPr>
              <w:t>z</w:t>
            </w:r>
            <w:r w:rsidRPr="00245864">
              <w:rPr>
                <w:rFonts w:asciiTheme="minorHAnsi" w:hAnsiTheme="minorHAnsi" w:cstheme="minorHAnsi"/>
                <w:sz w:val="22"/>
              </w:rPr>
              <w:t>rodzi</w:t>
            </w:r>
            <w:r w:rsidR="0012679C" w:rsidRPr="00245864">
              <w:rPr>
                <w:rFonts w:asciiTheme="minorHAnsi" w:hAnsiTheme="minorHAnsi" w:cstheme="minorHAnsi"/>
                <w:sz w:val="22"/>
              </w:rPr>
              <w:t>ł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szereg problemów uniemożliwiających sądom rejestrowym wykreślenie takich zastawów z rejestru. Przyczyny związane są głównie ze śmiercią </w:t>
            </w:r>
            <w:r w:rsidRPr="00245864">
              <w:rPr>
                <w:rFonts w:asciiTheme="minorHAnsi" w:hAnsiTheme="minorHAnsi" w:cstheme="minorHAnsi"/>
                <w:sz w:val="22"/>
              </w:rPr>
              <w:lastRenderedPageBreak/>
              <w:t xml:space="preserve">strony albo zmianą adresu i niepowiadomienia o tym fakcie sądu. W takim przypadku ograniczone albo wręcz niemożliwe jest doręczenie przez sąd postanowień o wykreśleniu zastawu z urzędu. W konsekwencji sądy zawieszają a następnie umarzają takie postępowania. </w:t>
            </w:r>
            <w:r w:rsidRPr="00245864">
              <w:rPr>
                <w:rFonts w:asciiTheme="minorHAnsi" w:hAnsiTheme="minorHAnsi" w:cstheme="minorHAnsi"/>
                <w:b/>
                <w:bCs/>
                <w:sz w:val="22"/>
              </w:rPr>
              <w:t>Mamy zatem do czynienia z brakiem równowagi między skutkami następującymi z mocy prawa (wygaśnięcie zastawu) a obowiązkami po stronie sądów rejestrowych (</w:t>
            </w:r>
            <w:r w:rsidR="00C232FB" w:rsidRPr="00C232FB">
              <w:rPr>
                <w:rFonts w:asciiTheme="minorHAnsi" w:hAnsiTheme="minorHAnsi" w:cstheme="minorHAnsi"/>
                <w:b/>
                <w:bCs/>
                <w:sz w:val="22"/>
              </w:rPr>
              <w:t>konieczność wszczęcia postępowania z urzędu, wydania postanowienia o wykreśleniu zastawu, jego doręczenia i uprawomocnienia</w:t>
            </w:r>
            <w:r w:rsidRPr="00245864">
              <w:rPr>
                <w:rFonts w:asciiTheme="minorHAnsi" w:hAnsiTheme="minorHAnsi" w:cstheme="minorHAnsi"/>
                <w:b/>
                <w:bCs/>
                <w:sz w:val="22"/>
              </w:rPr>
              <w:t>).</w:t>
            </w:r>
            <w:r w:rsidRPr="00245864">
              <w:rPr>
                <w:rFonts w:asciiTheme="minorHAnsi" w:hAnsiTheme="minorHAnsi" w:cstheme="minorHAnsi"/>
                <w:sz w:val="22"/>
              </w:rPr>
              <w:t xml:space="preserve"> Podkreślenia wymaga także, że prowadzenie takich postępowań nie tylko obciąża sądy rejestrowe ale również generuje dodatkowe koszty dla budżetu bardzo często przy braku możliwości osiągnięcia skutku jakim jest wykreślenie zastawu.</w:t>
            </w:r>
          </w:p>
          <w:p w14:paraId="1705A25D" w14:textId="70ECB5E7" w:rsidR="00467029" w:rsidRPr="00467029" w:rsidRDefault="0012679C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12679C">
              <w:rPr>
                <w:rFonts w:asciiTheme="minorHAnsi" w:hAnsiTheme="minorHAnsi" w:cstheme="minorHAnsi"/>
                <w:iCs/>
                <w:sz w:val="22"/>
              </w:rPr>
              <w:t xml:space="preserve">Odnosząc się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zatem </w:t>
            </w:r>
            <w:r w:rsidRPr="0012679C">
              <w:rPr>
                <w:rFonts w:asciiTheme="minorHAnsi" w:hAnsiTheme="minorHAnsi" w:cstheme="minorHAnsi"/>
                <w:iCs/>
                <w:sz w:val="22"/>
              </w:rPr>
              <w:t>do naruszenia zasady dwuinstancyjności postępowania należy ponownie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Pr="0012679C">
              <w:rPr>
                <w:rFonts w:asciiTheme="minorHAnsi" w:hAnsiTheme="minorHAnsi" w:cstheme="minorHAnsi"/>
                <w:iCs/>
                <w:sz w:val="22"/>
              </w:rPr>
              <w:t>wskazać, że wygasły zastaw jest uznawany za wykreślony z mocy prawa, nie jest zatem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 konieczne </w:t>
            </w:r>
            <w:r w:rsidRPr="0012679C">
              <w:rPr>
                <w:rFonts w:asciiTheme="minorHAnsi" w:hAnsiTheme="minorHAnsi" w:cstheme="minorHAnsi"/>
                <w:iCs/>
                <w:sz w:val="22"/>
              </w:rPr>
              <w:t>wydawanie postanowienia sądu w tym przedmiocie. Należy podkreślić, że</w:t>
            </w:r>
            <w:r w:rsidR="00467029" w:rsidRPr="00245864">
              <w:rPr>
                <w:rFonts w:asciiTheme="minorHAnsi" w:hAnsiTheme="minorHAnsi" w:cstheme="minorHAnsi"/>
                <w:iCs/>
                <w:sz w:val="22"/>
              </w:rPr>
              <w:t xml:space="preserve"> w polskim porządku prawnym obowiązują już rozwiązania, które przewidują wykreślenie danych z rejestru bez konieczności wydawania postanowienia w tym przedmiocie. Zgodnie z art. 46 ust. 2 ustawy z dnia 20 sierpnia 1997 r., o Krajowym Rejestrze </w:t>
            </w:r>
            <w:r w:rsidR="00467029" w:rsidRPr="00467029">
              <w:rPr>
                <w:rFonts w:asciiTheme="minorHAnsi" w:hAnsiTheme="minorHAnsi" w:cstheme="minorHAnsi"/>
                <w:iCs/>
                <w:sz w:val="22"/>
              </w:rPr>
              <w:t>Sądowym (Dz. U. z 2024 r. poz. 979 ze. zm.) wpisy dokonane w dziale 4 rejestru</w:t>
            </w:r>
            <w:r w:rsidR="00467029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="00467029" w:rsidRPr="00467029">
              <w:rPr>
                <w:rFonts w:asciiTheme="minorHAnsi" w:hAnsiTheme="minorHAnsi" w:cstheme="minorHAnsi"/>
                <w:iCs/>
                <w:sz w:val="22"/>
              </w:rPr>
              <w:t>przedsiębiorców Krajowego Rejestru Sądowego są wykreślane automatycznie po upływie</w:t>
            </w:r>
            <w:r w:rsidR="00467029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="00467029" w:rsidRPr="00467029">
              <w:rPr>
                <w:rFonts w:asciiTheme="minorHAnsi" w:hAnsiTheme="minorHAnsi" w:cstheme="minorHAnsi"/>
                <w:iCs/>
                <w:sz w:val="22"/>
              </w:rPr>
              <w:t>7 lat od dnia ich dokonania. Automatycznie – bez konieczności wydania postanowienia –</w:t>
            </w:r>
            <w:r w:rsidR="00467029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="00467029" w:rsidRPr="00467029">
              <w:rPr>
                <w:rFonts w:asciiTheme="minorHAnsi" w:hAnsiTheme="minorHAnsi" w:cstheme="minorHAnsi"/>
                <w:iCs/>
                <w:sz w:val="22"/>
              </w:rPr>
              <w:t>są wykreślane również wpisy w rejestrze dłużników niewypłacalnych. Artykuł 60 ust.</w:t>
            </w:r>
            <w:r w:rsidR="00467029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="00467029" w:rsidRPr="00467029">
              <w:rPr>
                <w:rFonts w:asciiTheme="minorHAnsi" w:hAnsiTheme="minorHAnsi" w:cstheme="minorHAnsi"/>
                <w:iCs/>
                <w:sz w:val="22"/>
              </w:rPr>
              <w:t>1 zdanie pierwsze ww. ustawy stanowi: wpisy do rejestru dłużników niewypłacalnych są</w:t>
            </w:r>
            <w:r w:rsidR="00467029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="00467029" w:rsidRPr="00467029">
              <w:rPr>
                <w:rFonts w:asciiTheme="minorHAnsi" w:hAnsiTheme="minorHAnsi" w:cstheme="minorHAnsi"/>
                <w:iCs/>
                <w:sz w:val="22"/>
              </w:rPr>
              <w:t>wykreślane automatycznie po upływie 7 lat od dnia dokonania wpisu.</w:t>
            </w:r>
          </w:p>
          <w:p w14:paraId="49B4FDEA" w14:textId="27808AEF" w:rsidR="0012679C" w:rsidRPr="00245864" w:rsidRDefault="00467029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467029">
              <w:rPr>
                <w:rFonts w:asciiTheme="minorHAnsi" w:hAnsiTheme="minorHAnsi" w:cstheme="minorHAnsi"/>
                <w:iCs/>
                <w:sz w:val="22"/>
              </w:rPr>
              <w:t>Należy w tym miejscu zwrócić szczególną uwagę, że w przypadkach wyżej wymienionych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Pr="00467029">
              <w:rPr>
                <w:rFonts w:asciiTheme="minorHAnsi" w:hAnsiTheme="minorHAnsi" w:cstheme="minorHAnsi"/>
                <w:iCs/>
                <w:sz w:val="22"/>
              </w:rPr>
              <w:t xml:space="preserve">następuje </w:t>
            </w:r>
            <w:r w:rsidRPr="00467029">
              <w:rPr>
                <w:rFonts w:asciiTheme="minorHAnsi" w:hAnsiTheme="minorHAnsi" w:cstheme="minorHAnsi"/>
                <w:b/>
                <w:bCs/>
                <w:iCs/>
                <w:sz w:val="22"/>
              </w:rPr>
              <w:t xml:space="preserve">wykreślenie </w:t>
            </w:r>
            <w:r w:rsidRPr="00467029">
              <w:rPr>
                <w:rFonts w:asciiTheme="minorHAnsi" w:hAnsiTheme="minorHAnsi" w:cstheme="minorHAnsi"/>
                <w:b/>
                <w:bCs/>
                <w:iCs/>
                <w:sz w:val="22"/>
              </w:rPr>
              <w:lastRenderedPageBreak/>
              <w:t xml:space="preserve">wpisów </w:t>
            </w:r>
            <w:r w:rsidRPr="00467029">
              <w:rPr>
                <w:rFonts w:asciiTheme="minorHAnsi" w:hAnsiTheme="minorHAnsi" w:cstheme="minorHAnsi"/>
                <w:iCs/>
                <w:sz w:val="22"/>
              </w:rPr>
              <w:t>z Krajowego Rejestru Sądowego bez wydawania przez sąd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 postanowienia. P</w:t>
            </w:r>
            <w:r w:rsidR="0012679C" w:rsidRPr="0012679C">
              <w:rPr>
                <w:rFonts w:asciiTheme="minorHAnsi" w:hAnsiTheme="minorHAnsi" w:cstheme="minorHAnsi"/>
                <w:iCs/>
                <w:sz w:val="22"/>
              </w:rPr>
              <w:t>rzedstawione wyżej rozwiązania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="0012679C" w:rsidRPr="0012679C">
              <w:rPr>
                <w:rFonts w:asciiTheme="minorHAnsi" w:hAnsiTheme="minorHAnsi" w:cstheme="minorHAnsi"/>
                <w:iCs/>
                <w:sz w:val="22"/>
              </w:rPr>
              <w:t xml:space="preserve">nie zakładają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również </w:t>
            </w:r>
            <w:r w:rsidR="0012679C" w:rsidRPr="0012679C">
              <w:rPr>
                <w:rFonts w:asciiTheme="minorHAnsi" w:hAnsiTheme="minorHAnsi" w:cstheme="minorHAnsi"/>
                <w:iCs/>
                <w:sz w:val="22"/>
              </w:rPr>
              <w:t>możliwości odwołania od automatycznego wykreślenia z Krajowego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="0012679C" w:rsidRPr="00245864">
              <w:rPr>
                <w:rFonts w:asciiTheme="minorHAnsi" w:hAnsiTheme="minorHAnsi" w:cstheme="minorHAnsi"/>
                <w:iCs/>
                <w:sz w:val="22"/>
              </w:rPr>
              <w:t>Rejestru Sądowego.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</w:p>
          <w:p w14:paraId="6CC2684E" w14:textId="3ED033F8" w:rsidR="00BD4373" w:rsidRPr="00245864" w:rsidRDefault="004C1E37" w:rsidP="00245864">
            <w:pPr>
              <w:tabs>
                <w:tab w:val="left" w:pos="540"/>
              </w:tabs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>Natomiast p</w:t>
            </w:r>
            <w:r w:rsidR="00467029" w:rsidRPr="00245864">
              <w:rPr>
                <w:rFonts w:asciiTheme="minorHAnsi" w:hAnsiTheme="minorHAnsi" w:cstheme="minorHAnsi"/>
                <w:iCs/>
                <w:sz w:val="22"/>
              </w:rPr>
              <w:t>rojektowane przepisy nie zakładają wykreślania wygasłych ex lege zasta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w</w:t>
            </w:r>
            <w:r w:rsidR="00467029" w:rsidRPr="00245864">
              <w:rPr>
                <w:rFonts w:asciiTheme="minorHAnsi" w:hAnsiTheme="minorHAnsi" w:cstheme="minorHAnsi"/>
                <w:iCs/>
                <w:sz w:val="22"/>
              </w:rPr>
              <w:t>ów z rejestru, a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le</w:t>
            </w:r>
            <w:r w:rsidR="00467029" w:rsidRPr="00245864">
              <w:rPr>
                <w:rFonts w:asciiTheme="minorHAnsi" w:hAnsiTheme="minorHAnsi" w:cstheme="minorHAnsi"/>
                <w:iCs/>
                <w:sz w:val="22"/>
              </w:rPr>
              <w:t xml:space="preserve"> opierają się na fikcji uznania ich za wykreślone, co </w:t>
            </w:r>
            <w:r w:rsidR="00BD4373" w:rsidRPr="00245864">
              <w:rPr>
                <w:rFonts w:asciiTheme="minorHAnsi" w:hAnsiTheme="minorHAnsi" w:cstheme="minorHAnsi"/>
                <w:iCs/>
                <w:sz w:val="22"/>
              </w:rPr>
              <w:t xml:space="preserve">powodować będzie, że </w:t>
            </w:r>
            <w:r w:rsidR="00BD4373" w:rsidRPr="00245864">
              <w:rPr>
                <w:rFonts w:asciiTheme="minorHAnsi" w:hAnsiTheme="minorHAnsi" w:cstheme="minorHAnsi"/>
                <w:sz w:val="22"/>
              </w:rPr>
              <w:t xml:space="preserve">zastaw taki należy traktować jak </w:t>
            </w:r>
            <w:r w:rsidR="00BD4373" w:rsidRPr="00245864">
              <w:rPr>
                <w:rFonts w:asciiTheme="minorHAnsi" w:hAnsiTheme="minorHAnsi" w:cstheme="minorHAnsi"/>
                <w:b/>
                <w:bCs/>
                <w:sz w:val="22"/>
              </w:rPr>
              <w:t>niefigurujący w rejestrze zastawów, w swojej mocy prawnej zrównany z wykreśleniem zastawu z rejestru</w:t>
            </w:r>
            <w:r w:rsidR="00BD4373" w:rsidRPr="00245864">
              <w:rPr>
                <w:rFonts w:asciiTheme="minorHAnsi" w:hAnsiTheme="minorHAnsi" w:cstheme="minorHAnsi"/>
                <w:sz w:val="22"/>
              </w:rPr>
              <w:t>.</w:t>
            </w:r>
          </w:p>
          <w:p w14:paraId="22611C7D" w14:textId="01FC3BC5" w:rsidR="0056338D" w:rsidRPr="00245864" w:rsidRDefault="0056338D" w:rsidP="00245864">
            <w:pPr>
              <w:rPr>
                <w:rFonts w:asciiTheme="minorHAnsi" w:hAnsiTheme="minorHAnsi" w:cstheme="minorHAnsi"/>
                <w:b/>
                <w:bCs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>W opinii projektodawców - wobec uznania takiego zastawu za wykreślony z mocy prawa</w:t>
            </w:r>
            <w:r w:rsidR="00BD4373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="004C1E37" w:rsidRPr="00245864">
              <w:rPr>
                <w:rFonts w:asciiTheme="minorHAnsi" w:hAnsiTheme="minorHAnsi" w:cstheme="minorHAnsi"/>
                <w:iCs/>
                <w:sz w:val="22"/>
              </w:rPr>
              <w:t>–</w:t>
            </w:r>
            <w:r w:rsidR="00CC5117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odpowiednim środkiem o charakterze informacyjnym będzie zaprojektowana w art. 41</w:t>
            </w:r>
            <w:r w:rsidR="00BD4373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ust. 2aa adnotacja, która pozwoli na ustalenie statusu zastawu. Tym samym </w:t>
            </w:r>
            <w:r w:rsidRPr="00245864">
              <w:rPr>
                <w:rFonts w:asciiTheme="minorHAnsi" w:hAnsiTheme="minorHAnsi" w:cstheme="minorHAnsi"/>
                <w:b/>
                <w:bCs/>
                <w:iCs/>
                <w:sz w:val="22"/>
              </w:rPr>
              <w:t>nie będzie już</w:t>
            </w:r>
            <w:r w:rsidR="00BD4373" w:rsidRPr="00245864">
              <w:rPr>
                <w:rFonts w:asciiTheme="minorHAnsi" w:hAnsiTheme="minorHAnsi" w:cstheme="minorHAnsi"/>
                <w:b/>
                <w:bCs/>
                <w:iCs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b/>
                <w:bCs/>
                <w:iCs/>
                <w:sz w:val="22"/>
              </w:rPr>
              <w:t>konieczne wydawanie postanowienia w przedmiocie wykreślenia wygasłego ex lege</w:t>
            </w:r>
            <w:r w:rsidR="00BD4373" w:rsidRPr="00245864">
              <w:rPr>
                <w:rFonts w:asciiTheme="minorHAnsi" w:hAnsiTheme="minorHAnsi" w:cstheme="minorHAnsi"/>
                <w:b/>
                <w:bCs/>
                <w:iCs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b/>
                <w:bCs/>
                <w:iCs/>
                <w:sz w:val="22"/>
              </w:rPr>
              <w:t>zastawu i „fizyczne” usuwanie go z rejestru.</w:t>
            </w:r>
          </w:p>
          <w:p w14:paraId="3933EA73" w14:textId="412C26BD" w:rsidR="00BD4373" w:rsidRPr="00245864" w:rsidRDefault="0056338D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>Adnotacja w systemie teleinformatycznym będzie tylko i wyłącznie czynnością</w:t>
            </w:r>
            <w:r w:rsidR="00BD4373" w:rsidRPr="00245864">
              <w:rPr>
                <w:rFonts w:asciiTheme="minorHAnsi" w:hAnsiTheme="minorHAnsi" w:cstheme="minorHAnsi"/>
                <w:iCs/>
                <w:sz w:val="22"/>
              </w:rPr>
              <w:t xml:space="preserve">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t>o charakterze technicznym</w:t>
            </w:r>
            <w:r w:rsidR="00BD4373" w:rsidRPr="00245864">
              <w:rPr>
                <w:rFonts w:asciiTheme="minorHAnsi" w:hAnsiTheme="minorHAnsi" w:cstheme="minorHAnsi"/>
                <w:iCs/>
                <w:sz w:val="22"/>
              </w:rPr>
              <w:t>.</w:t>
            </w:r>
          </w:p>
          <w:p w14:paraId="3D35AB83" w14:textId="541FCA60" w:rsidR="0056338D" w:rsidRPr="00245864" w:rsidRDefault="0056338D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C5117" w:rsidRPr="00245864" w14:paraId="5850E082" w14:textId="77777777" w:rsidTr="00232D41">
        <w:tc>
          <w:tcPr>
            <w:tcW w:w="561" w:type="dxa"/>
          </w:tcPr>
          <w:p w14:paraId="2CE097A4" w14:textId="14B940A8" w:rsidR="00CC5117" w:rsidRPr="00245864" w:rsidRDefault="00CC5117" w:rsidP="00CC511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lastRenderedPageBreak/>
              <w:t xml:space="preserve">3. </w:t>
            </w:r>
          </w:p>
        </w:tc>
        <w:tc>
          <w:tcPr>
            <w:tcW w:w="1769" w:type="dxa"/>
          </w:tcPr>
          <w:p w14:paraId="3F26438C" w14:textId="72D13056" w:rsidR="00CC5117" w:rsidRPr="00245864" w:rsidRDefault="00CC5117" w:rsidP="00CC511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245864">
              <w:rPr>
                <w:rFonts w:asciiTheme="minorHAnsi" w:hAnsiTheme="minorHAnsi" w:cstheme="minorHAnsi"/>
                <w:b/>
                <w:bCs/>
                <w:sz w:val="22"/>
              </w:rPr>
              <w:t>Rządowe Centrum Legislacji</w:t>
            </w:r>
          </w:p>
        </w:tc>
        <w:tc>
          <w:tcPr>
            <w:tcW w:w="5345" w:type="dxa"/>
          </w:tcPr>
          <w:p w14:paraId="0C2F4C2B" w14:textId="264DD1E6" w:rsidR="00CC5117" w:rsidRPr="00245864" w:rsidRDefault="00CC5117" w:rsidP="00CC5117">
            <w:pPr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t xml:space="preserve">RCL nie podziela także stanowiska Projektodawcy w kwestii braku konieczności uzupełnienia przepisu upoważniającego do wydania aktu wykonawczego (art. 43 ustawy) o wytyczne co do treści aktu. Niezależnie bowiem od cytowanego przez Projektodawcę orzecznictwa Trybunału Konstytucyjnego, z którego wynika, że „jeżeli organ wykonawczy pośrednio, poprzez szczegółowe normy ustawy, uzyska wytyczne do odpowiedniego zbudowania treści rozporządzenia, to pomimo braku wytycznych w przepisie upoważniającym można uznać, że upoważnienie nie narusza art. 92 ust.1 Konstytucji”, RCL zauważa, że w dalszej części otrzymanego stanowiska Projektodawca sam przyznaje, iż tego rodzaju </w:t>
            </w:r>
            <w:r w:rsidRPr="00245864">
              <w:rPr>
                <w:rFonts w:asciiTheme="minorHAnsi" w:hAnsiTheme="minorHAnsi" w:cstheme="minorHAnsi"/>
                <w:sz w:val="22"/>
              </w:rPr>
              <w:lastRenderedPageBreak/>
              <w:t>upoważnienie ustawowe, jako pozbawione w swojej treści wytycznych co do aktu, charakteryzuje się, w świetle ww. orzecznictwa TK „legislacyjną ułomnością”. W ocenie RCL</w:t>
            </w:r>
          </w:p>
          <w:p w14:paraId="0C9DE656" w14:textId="75ABFCD0" w:rsidR="00CC5117" w:rsidRPr="00245864" w:rsidRDefault="00CC5117" w:rsidP="00CC5117">
            <w:pPr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t>nic więc nie stoi na przeszkodzie, aby przy okazji dokonywanej nowelizacji ww. przepisu upoważniającego dokonać jego uzupełnienia także o wymagane wytyczne co do treści aktu – w celu jednoznacznego wyeliminowania ww. „ułomności”. Powyższe mogłoby zostać dokonane na etapie rozpatrywania projektu przez komisję prawniczą - przy czym ponownie zauważa się, że zasadne jest również dokonanie analizy materii przekazanej do uregulowania</w:t>
            </w:r>
          </w:p>
          <w:p w14:paraId="39FA2AF3" w14:textId="70D861AA" w:rsidR="00CC5117" w:rsidRPr="00245864" w:rsidRDefault="00CC5117" w:rsidP="00CC5117">
            <w:pPr>
              <w:rPr>
                <w:rFonts w:asciiTheme="minorHAnsi" w:hAnsiTheme="minorHAnsi" w:cstheme="minorHAnsi"/>
                <w:sz w:val="22"/>
              </w:rPr>
            </w:pPr>
            <w:r w:rsidRPr="00245864">
              <w:rPr>
                <w:rFonts w:asciiTheme="minorHAnsi" w:hAnsiTheme="minorHAnsi" w:cstheme="minorHAnsi"/>
                <w:sz w:val="22"/>
              </w:rPr>
              <w:t>w akcie wykonawczym w obrębie całego art. 43 ustawy, i dostosowania do standardów dotyczących tworzenia prawa, np. w kwestii przekazania do uregulowania w drodze aktu wykonawczego szczegółowych zasad udzielania informacji.</w:t>
            </w:r>
          </w:p>
        </w:tc>
        <w:tc>
          <w:tcPr>
            <w:tcW w:w="5928" w:type="dxa"/>
          </w:tcPr>
          <w:p w14:paraId="754BABA8" w14:textId="77777777" w:rsidR="00CC5117" w:rsidRPr="00245864" w:rsidRDefault="00CC5117" w:rsidP="00CC5117">
            <w:pPr>
              <w:rPr>
                <w:rFonts w:asciiTheme="minorHAnsi" w:hAnsiTheme="minorHAnsi" w:cstheme="minorHAnsi"/>
                <w:b/>
                <w:bCs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b/>
                <w:bCs/>
                <w:iCs/>
                <w:sz w:val="22"/>
              </w:rPr>
              <w:lastRenderedPageBreak/>
              <w:t>Uwaga nieuwzględniona</w:t>
            </w:r>
          </w:p>
          <w:p w14:paraId="294559D8" w14:textId="77777777" w:rsidR="00CC5117" w:rsidRPr="00245864" w:rsidRDefault="00CC5117" w:rsidP="00CC5117">
            <w:pPr>
              <w:rPr>
                <w:rFonts w:asciiTheme="minorHAnsi" w:hAnsiTheme="minorHAnsi" w:cstheme="minorHAnsi"/>
                <w:b/>
                <w:bCs/>
                <w:iCs/>
                <w:sz w:val="22"/>
              </w:rPr>
            </w:pPr>
          </w:p>
          <w:p w14:paraId="67654EA8" w14:textId="77777777" w:rsidR="00CC5117" w:rsidRPr="00245864" w:rsidRDefault="00CC5117" w:rsidP="00CC5117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>Ministerstwo Sprawiedliwości podtrzymuje swoje stanowisko przedstawione w piśmie z dnia 18 października 2024 r.</w:t>
            </w:r>
            <w:r w:rsidR="00245864" w:rsidRPr="00245864">
              <w:rPr>
                <w:rFonts w:asciiTheme="minorHAnsi" w:hAnsiTheme="minorHAnsi" w:cstheme="minorHAnsi"/>
                <w:iCs/>
                <w:sz w:val="22"/>
              </w:rPr>
              <w:t>:</w:t>
            </w:r>
          </w:p>
          <w:p w14:paraId="683547C7" w14:textId="566A3553" w:rsidR="00245864" w:rsidRPr="00245864" w:rsidRDefault="00245864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>„Bezspornym jest, że art. 92 ust. 1 Konstytucji RP kategorycznie określa warunki, jakim powinno odpowiadać upoważnienie ustawowe oraz pozwala ustalić przesłanki legalności aktu wykonawczego. Zgodnie z ww. artykułem rozporządzenie wykonawcze musi regulować sprawy określone w upoważnieniu ustawowym zgodnie z wytycznymi w nim zawartymi.</w:t>
            </w:r>
          </w:p>
          <w:p w14:paraId="6BE1D6E8" w14:textId="4C96AF98" w:rsidR="00245864" w:rsidRPr="00245864" w:rsidRDefault="00245864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 xml:space="preserve">Należy jednak zauważyć, że w świetle orzecznictwa Trybunału Konstytucyjnego jeżeli organ wykonawczy pośrednio, poprzez </w:t>
            </w:r>
            <w:r w:rsidRPr="00245864">
              <w:rPr>
                <w:rFonts w:asciiTheme="minorHAnsi" w:hAnsiTheme="minorHAnsi" w:cstheme="minorHAnsi"/>
                <w:iCs/>
                <w:sz w:val="22"/>
              </w:rPr>
              <w:lastRenderedPageBreak/>
              <w:t>szczegółowe normy ustawy, uzyska wytyczne do odpowiedniego zbudowania treści rozporządzenia, to pomimo braku wytycznych</w:t>
            </w:r>
          </w:p>
          <w:p w14:paraId="3EE60A77" w14:textId="3516984D" w:rsidR="00245864" w:rsidRPr="00245864" w:rsidRDefault="00245864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>w przepisie upoważniającym można uznać, że upoważnienie nie narusza art. 92 ust. 1 Konstytucji. Powyższe stanowisko znajduje potwierdzenie w wyrokach Trybunału Konstytucyjnego m.in. z dnia: 18 marca 2003 r., K 50/01, 20 kwietnia 2004 r., K 45/02</w:t>
            </w:r>
          </w:p>
          <w:p w14:paraId="1A2C3BF1" w14:textId="77777777" w:rsidR="00245864" w:rsidRPr="00245864" w:rsidRDefault="00245864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>i 12 września 2006 r., K 55/05).</w:t>
            </w:r>
          </w:p>
          <w:p w14:paraId="4D4E84FE" w14:textId="3C9B6D7C" w:rsidR="00245864" w:rsidRPr="00245864" w:rsidRDefault="00245864" w:rsidP="00245864">
            <w:pPr>
              <w:rPr>
                <w:rFonts w:asciiTheme="minorHAnsi" w:hAnsiTheme="minorHAnsi" w:cstheme="minorHAnsi"/>
                <w:iCs/>
                <w:sz w:val="22"/>
              </w:rPr>
            </w:pPr>
            <w:r w:rsidRPr="00245864">
              <w:rPr>
                <w:rFonts w:asciiTheme="minorHAnsi" w:hAnsiTheme="minorHAnsi" w:cstheme="minorHAnsi"/>
                <w:iCs/>
                <w:sz w:val="22"/>
              </w:rPr>
              <w:t>W takim przypadku - zdaniem Trybunału Konstytucyjnego - brak wytycznych nie dyskwalifikuje przepisu upoważniającego lecz świadczy o „legislacyjnej ułomności” takiego przepisu.”</w:t>
            </w:r>
          </w:p>
        </w:tc>
      </w:tr>
    </w:tbl>
    <w:p w14:paraId="5BA43D72" w14:textId="77777777" w:rsidR="00481A0C" w:rsidRPr="00245864" w:rsidRDefault="00481A0C" w:rsidP="00CC5117">
      <w:pPr>
        <w:spacing w:line="240" w:lineRule="auto"/>
        <w:rPr>
          <w:rFonts w:asciiTheme="minorHAnsi" w:hAnsiTheme="minorHAnsi" w:cstheme="minorHAnsi"/>
          <w:sz w:val="22"/>
        </w:rPr>
      </w:pPr>
    </w:p>
    <w:sectPr w:rsidR="00481A0C" w:rsidRPr="00245864" w:rsidSect="007930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3582C"/>
    <w:multiLevelType w:val="hybridMultilevel"/>
    <w:tmpl w:val="C61EE1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D61887"/>
    <w:multiLevelType w:val="hybridMultilevel"/>
    <w:tmpl w:val="BEE2882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5656973">
    <w:abstractNumId w:val="0"/>
  </w:num>
  <w:num w:numId="2" w16cid:durableId="891845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00C"/>
    <w:rsid w:val="0012679C"/>
    <w:rsid w:val="0020078B"/>
    <w:rsid w:val="00245864"/>
    <w:rsid w:val="002741FD"/>
    <w:rsid w:val="00365952"/>
    <w:rsid w:val="00400228"/>
    <w:rsid w:val="004421A9"/>
    <w:rsid w:val="00467029"/>
    <w:rsid w:val="00481A0C"/>
    <w:rsid w:val="004C1E37"/>
    <w:rsid w:val="0056338D"/>
    <w:rsid w:val="005953CB"/>
    <w:rsid w:val="005D330C"/>
    <w:rsid w:val="00612BC5"/>
    <w:rsid w:val="0079300C"/>
    <w:rsid w:val="008F6E4B"/>
    <w:rsid w:val="00961D8B"/>
    <w:rsid w:val="00B47D19"/>
    <w:rsid w:val="00BD4373"/>
    <w:rsid w:val="00C232FB"/>
    <w:rsid w:val="00C56741"/>
    <w:rsid w:val="00CC5117"/>
    <w:rsid w:val="00D64F41"/>
    <w:rsid w:val="00D90659"/>
    <w:rsid w:val="00DB172A"/>
    <w:rsid w:val="00E551A5"/>
    <w:rsid w:val="00F3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914D5"/>
  <w15:chartTrackingRefBased/>
  <w15:docId w15:val="{31835567-CAF7-48D9-98A1-F014F377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300C"/>
    <w:pPr>
      <w:jc w:val="both"/>
    </w:pPr>
    <w:rPr>
      <w:rFonts w:ascii="Lato" w:hAnsi="Lato"/>
      <w:kern w:val="0"/>
      <w:sz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30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30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300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30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300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30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30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30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30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300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30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300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300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300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30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30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30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30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30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30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30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30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30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300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9300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300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300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300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300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9300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793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1664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Ciećwierz Beata  (DPCiG)</dc:creator>
  <cp:keywords/>
  <dc:description/>
  <cp:lastModifiedBy>Góral Agnieszka  (DL)</cp:lastModifiedBy>
  <cp:revision>6</cp:revision>
  <dcterms:created xsi:type="dcterms:W3CDTF">2024-11-22T11:20:00Z</dcterms:created>
  <dcterms:modified xsi:type="dcterms:W3CDTF">2025-02-13T10:19:00Z</dcterms:modified>
</cp:coreProperties>
</file>